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B74" w:rsidRDefault="008C3B7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C3B74" w:rsidRDefault="008C3B74">
      <w:pPr>
        <w:pStyle w:val="ConsPlusNormal"/>
        <w:jc w:val="both"/>
        <w:outlineLvl w:val="0"/>
      </w:pPr>
    </w:p>
    <w:p w:rsidR="008C3B74" w:rsidRDefault="008C3B74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Об уменьшении суммы оплаты по контракту на размер НДФЛ.</w:t>
      </w:r>
    </w:p>
    <w:p w:rsidR="008C3B74" w:rsidRDefault="008C3B74">
      <w:pPr>
        <w:pStyle w:val="ConsPlusNormal"/>
        <w:jc w:val="both"/>
      </w:pPr>
    </w:p>
    <w:p w:rsidR="008C3B74" w:rsidRDefault="008C3B74">
      <w:pPr>
        <w:pStyle w:val="ConsPlusNormal"/>
        <w:ind w:firstLine="540"/>
        <w:jc w:val="both"/>
      </w:pPr>
      <w:r>
        <w:rPr>
          <w:b/>
        </w:rPr>
        <w:t>Ответ:</w:t>
      </w:r>
    </w:p>
    <w:p w:rsidR="008C3B74" w:rsidRDefault="008C3B74">
      <w:pPr>
        <w:pStyle w:val="ConsPlusTitle"/>
        <w:spacing w:before="220"/>
        <w:jc w:val="center"/>
      </w:pPr>
      <w:r>
        <w:t>МИНИСТЕРСТВО ФИНАНСОВ РОССИЙСКОЙ ФЕДЕРАЦИИ</w:t>
      </w:r>
    </w:p>
    <w:p w:rsidR="008C3B74" w:rsidRDefault="008C3B74">
      <w:pPr>
        <w:pStyle w:val="ConsPlusTitle"/>
        <w:jc w:val="center"/>
      </w:pPr>
    </w:p>
    <w:p w:rsidR="008C3B74" w:rsidRDefault="008C3B74">
      <w:pPr>
        <w:pStyle w:val="ConsPlusTitle"/>
        <w:jc w:val="center"/>
      </w:pPr>
      <w:r>
        <w:t>ПИСЬМО</w:t>
      </w:r>
    </w:p>
    <w:p w:rsidR="008C3B74" w:rsidRDefault="008C3B74">
      <w:pPr>
        <w:pStyle w:val="ConsPlusTitle"/>
        <w:jc w:val="center"/>
      </w:pPr>
      <w:r>
        <w:t>от 27 ноября 2020 г. N 03-04-06/103517</w:t>
      </w:r>
    </w:p>
    <w:p w:rsidR="008C3B74" w:rsidRDefault="008C3B74">
      <w:pPr>
        <w:pStyle w:val="ConsPlusNormal"/>
        <w:jc w:val="both"/>
      </w:pPr>
    </w:p>
    <w:p w:rsidR="008C3B74" w:rsidRDefault="008C3B74">
      <w:pPr>
        <w:pStyle w:val="ConsPlusNormal"/>
        <w:ind w:firstLine="540"/>
        <w:jc w:val="both"/>
      </w:pPr>
      <w:r>
        <w:t xml:space="preserve">Департамент налоговой политики рассмотрел обращение от 31.08.2020 по вопросу исполнения обязанностей налогового агента по налогу на доходы физических лиц и в соответствии со </w:t>
      </w:r>
      <w:hyperlink r:id="rId6" w:history="1">
        <w:r>
          <w:rPr>
            <w:color w:val="0000FF"/>
          </w:rPr>
          <w:t>статьей 34.2</w:t>
        </w:r>
      </w:hyperlink>
      <w:r>
        <w:t xml:space="preserve"> Налогового кодекса Российской Федерации (далее - Кодекс) разъясняет следующее.</w:t>
      </w:r>
    </w:p>
    <w:p w:rsidR="008C3B74" w:rsidRDefault="008C3B74">
      <w:pPr>
        <w:pStyle w:val="ConsPlusNormal"/>
        <w:spacing w:before="220"/>
        <w:ind w:firstLine="540"/>
        <w:jc w:val="both"/>
      </w:pPr>
      <w:proofErr w:type="gramStart"/>
      <w:r>
        <w:t xml:space="preserve">Согласно </w:t>
      </w:r>
      <w:hyperlink r:id="rId7" w:history="1">
        <w:r>
          <w:rPr>
            <w:color w:val="0000FF"/>
          </w:rPr>
          <w:t>части 1 статьи 34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</w:t>
      </w:r>
      <w:proofErr w:type="gramEnd"/>
      <w:r>
        <w:t xml:space="preserve"> контракт, за исключением случаев, в которых в соответствии с Федеральным законом N 44-ФЗ извещение об осуществлении закупки или приглашение принять участие в определении поставщика (подрядчика, исполнителя), документация о закупке, заявка, окончательное предложение не предусмотрены.</w:t>
      </w:r>
    </w:p>
    <w:p w:rsidR="008C3B74" w:rsidRDefault="008C3B74">
      <w:pPr>
        <w:pStyle w:val="ConsPlusNormal"/>
        <w:spacing w:before="220"/>
        <w:ind w:firstLine="540"/>
        <w:jc w:val="both"/>
      </w:pPr>
      <w:r>
        <w:t xml:space="preserve">При заключении контракта указывается, что цена контракта является твердой и определяется на весь срок исполнения контракта, а в случаях, установленных Правительством Российской Федерации, указываются ориентировочное значение цены контракта либо формула цены и максимальное значение цены контракта, установленные заказчиком в документации о закупке. При заключении и исполнении контракта изменение его условий не допускается, за исключением случаев, предусмотренных </w:t>
      </w:r>
      <w:hyperlink r:id="rId8" w:history="1">
        <w:r>
          <w:rPr>
            <w:color w:val="0000FF"/>
          </w:rPr>
          <w:t>статьями 34</w:t>
        </w:r>
      </w:hyperlink>
      <w:r>
        <w:t xml:space="preserve"> и </w:t>
      </w:r>
      <w:hyperlink r:id="rId9" w:history="1">
        <w:r>
          <w:rPr>
            <w:color w:val="0000FF"/>
          </w:rPr>
          <w:t>95</w:t>
        </w:r>
      </w:hyperlink>
      <w:r>
        <w:t xml:space="preserve"> Федерального закона N 44-ФЗ (</w:t>
      </w:r>
      <w:hyperlink r:id="rId10" w:history="1">
        <w:r>
          <w:rPr>
            <w:color w:val="0000FF"/>
          </w:rPr>
          <w:t>часть 2 статьи 34</w:t>
        </w:r>
      </w:hyperlink>
      <w:r>
        <w:t xml:space="preserve"> Федерального закона N 44-ФЗ).</w:t>
      </w:r>
    </w:p>
    <w:p w:rsidR="008C3B74" w:rsidRDefault="008C3B74">
      <w:pPr>
        <w:pStyle w:val="ConsPlusNormal"/>
        <w:spacing w:before="220"/>
        <w:ind w:firstLine="540"/>
        <w:jc w:val="both"/>
      </w:pPr>
      <w:proofErr w:type="gramStart"/>
      <w:r>
        <w:t xml:space="preserve">При этом </w:t>
      </w:r>
      <w:hyperlink r:id="rId11" w:history="1">
        <w:r>
          <w:rPr>
            <w:color w:val="0000FF"/>
          </w:rPr>
          <w:t>пунктом 2 части 13 статьи 34</w:t>
        </w:r>
      </w:hyperlink>
      <w:r>
        <w:t xml:space="preserve"> Федерального закона N 44-ФЗ установлено, что в контракт включаются обязательные условия об уменьшении суммы, подлежащей уплате заказчиком юридическому лицу или физическому лицу, в том числе зарегистрированному в качестве индивидуального предпринимателя, на 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соответствии с</w:t>
      </w:r>
      <w:proofErr w:type="gramEnd"/>
      <w:r>
        <w:t xml:space="preserve">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:rsidR="008C3B74" w:rsidRDefault="008C3B74">
      <w:pPr>
        <w:pStyle w:val="ConsPlusNormal"/>
        <w:spacing w:before="220"/>
        <w:ind w:firstLine="540"/>
        <w:jc w:val="both"/>
      </w:pPr>
      <w:r>
        <w:t xml:space="preserve">Требования вышеуказанной </w:t>
      </w:r>
      <w:hyperlink r:id="rId12" w:history="1">
        <w:r>
          <w:rPr>
            <w:color w:val="0000FF"/>
          </w:rPr>
          <w:t>нормы</w:t>
        </w:r>
      </w:hyperlink>
      <w:r>
        <w:t xml:space="preserve"> Федерального закона N 44-ФЗ применяются с учетом положений законодательства Российской Федерации о налогах и сборах при одновременном соблюдении совокупности следующих условий: налоги, сборы и иные обязательные платежи должны быть связаны с оплатой контракта, заказчик является налоговым агентом в соответствии со </w:t>
      </w:r>
      <w:hyperlink r:id="rId13" w:history="1">
        <w:r>
          <w:rPr>
            <w:color w:val="0000FF"/>
          </w:rPr>
          <w:t>статьей 24</w:t>
        </w:r>
      </w:hyperlink>
      <w:r>
        <w:t xml:space="preserve"> Кодекса.</w:t>
      </w:r>
    </w:p>
    <w:p w:rsidR="008C3B74" w:rsidRDefault="008C3B74">
      <w:pPr>
        <w:pStyle w:val="ConsPlusNormal"/>
        <w:spacing w:before="220"/>
        <w:ind w:firstLine="540"/>
        <w:jc w:val="both"/>
      </w:pPr>
      <w:r>
        <w:t xml:space="preserve">В соответствии со </w:t>
      </w:r>
      <w:hyperlink r:id="rId14" w:history="1">
        <w:r>
          <w:rPr>
            <w:color w:val="0000FF"/>
          </w:rPr>
          <w:t>статьей 24</w:t>
        </w:r>
      </w:hyperlink>
      <w:r>
        <w:t xml:space="preserve"> Кодекса налоговыми агентами признаются лица, на которых в соответствии с Кодексом возложены обязанности по исчислению, удержанию у налогоплательщика и перечислению налогов в бюджетную систему Российской Федерации.</w:t>
      </w:r>
    </w:p>
    <w:p w:rsidR="008C3B74" w:rsidRDefault="008C3B74">
      <w:pPr>
        <w:pStyle w:val="ConsPlusNormal"/>
        <w:spacing w:before="220"/>
        <w:ind w:firstLine="540"/>
        <w:jc w:val="both"/>
      </w:pPr>
      <w:r>
        <w:lastRenderedPageBreak/>
        <w:t xml:space="preserve">Согласно </w:t>
      </w:r>
      <w:hyperlink r:id="rId15" w:history="1">
        <w:r>
          <w:rPr>
            <w:color w:val="0000FF"/>
          </w:rPr>
          <w:t>пункту 1 статьи 226</w:t>
        </w:r>
      </w:hyperlink>
      <w:r>
        <w:t xml:space="preserve"> Кодекса, в частности, российские организации, от которых или в результате отношений с которыми налогоплательщик получил доходы, указанные в </w:t>
      </w:r>
      <w:hyperlink r:id="rId16" w:history="1">
        <w:r>
          <w:rPr>
            <w:color w:val="0000FF"/>
          </w:rPr>
          <w:t>пункте 2 статьи 226</w:t>
        </w:r>
      </w:hyperlink>
      <w:r>
        <w:t xml:space="preserve"> Кодекса, обязаны исчислить, удержать у налогоплательщика и уплатить сумму налога, исчисленную в соответствии со </w:t>
      </w:r>
      <w:hyperlink r:id="rId17" w:history="1">
        <w:r>
          <w:rPr>
            <w:color w:val="0000FF"/>
          </w:rPr>
          <w:t>статьей 224</w:t>
        </w:r>
      </w:hyperlink>
      <w:r>
        <w:t xml:space="preserve"> Кодекса, с учетом особенностей, предусмотренных указанной статьей.</w:t>
      </w:r>
    </w:p>
    <w:p w:rsidR="008C3B74" w:rsidRDefault="008C3B74">
      <w:pPr>
        <w:pStyle w:val="ConsPlusNormal"/>
        <w:spacing w:before="220"/>
        <w:ind w:firstLine="540"/>
        <w:jc w:val="both"/>
      </w:pPr>
      <w:r>
        <w:t>Указанные лица именуются в главе 23 "Налог на доходы физических лиц" Кодекса налоговыми агентами.</w:t>
      </w:r>
    </w:p>
    <w:p w:rsidR="008C3B74" w:rsidRDefault="008C3B74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Абзацем вторым пункта 2 статьи 226</w:t>
        </w:r>
      </w:hyperlink>
      <w:r>
        <w:t xml:space="preserve"> Кодекса установлено, что особенности исчисления и (или) уплаты налога по отдельным видам доходов устанавливаются </w:t>
      </w:r>
      <w:hyperlink r:id="rId19" w:history="1">
        <w:r>
          <w:rPr>
            <w:color w:val="0000FF"/>
          </w:rPr>
          <w:t>статьями 214.3</w:t>
        </w:r>
      </w:hyperlink>
      <w:r>
        <w:t xml:space="preserve">, </w:t>
      </w:r>
      <w:hyperlink r:id="rId20" w:history="1">
        <w:r>
          <w:rPr>
            <w:color w:val="0000FF"/>
          </w:rPr>
          <w:t>214.4</w:t>
        </w:r>
      </w:hyperlink>
      <w:r>
        <w:t xml:space="preserve">, </w:t>
      </w:r>
      <w:hyperlink r:id="rId21" w:history="1">
        <w:r>
          <w:rPr>
            <w:color w:val="0000FF"/>
          </w:rPr>
          <w:t>214.5</w:t>
        </w:r>
      </w:hyperlink>
      <w:r>
        <w:t xml:space="preserve">, </w:t>
      </w:r>
      <w:hyperlink r:id="rId22" w:history="1">
        <w:r>
          <w:rPr>
            <w:color w:val="0000FF"/>
          </w:rPr>
          <w:t>214.6</w:t>
        </w:r>
      </w:hyperlink>
      <w:r>
        <w:t xml:space="preserve">, </w:t>
      </w:r>
      <w:hyperlink r:id="rId23" w:history="1">
        <w:r>
          <w:rPr>
            <w:color w:val="0000FF"/>
          </w:rPr>
          <w:t>214.7</w:t>
        </w:r>
      </w:hyperlink>
      <w:r>
        <w:t xml:space="preserve">, </w:t>
      </w:r>
      <w:hyperlink r:id="rId24" w:history="1">
        <w:r>
          <w:rPr>
            <w:color w:val="0000FF"/>
          </w:rPr>
          <w:t>226.1</w:t>
        </w:r>
      </w:hyperlink>
      <w:r>
        <w:t xml:space="preserve">, </w:t>
      </w:r>
      <w:hyperlink r:id="rId25" w:history="1">
        <w:r>
          <w:rPr>
            <w:color w:val="0000FF"/>
          </w:rPr>
          <w:t>227</w:t>
        </w:r>
      </w:hyperlink>
      <w:r>
        <w:t xml:space="preserve"> и </w:t>
      </w:r>
      <w:hyperlink r:id="rId26" w:history="1">
        <w:r>
          <w:rPr>
            <w:color w:val="0000FF"/>
          </w:rPr>
          <w:t>228</w:t>
        </w:r>
      </w:hyperlink>
      <w:r>
        <w:t xml:space="preserve"> Кодекса.</w:t>
      </w:r>
    </w:p>
    <w:p w:rsidR="008C3B74" w:rsidRDefault="008C3B74">
      <w:pPr>
        <w:pStyle w:val="ConsPlusNormal"/>
        <w:spacing w:before="220"/>
        <w:ind w:firstLine="540"/>
        <w:jc w:val="both"/>
      </w:pPr>
      <w:r>
        <w:t xml:space="preserve">На основании </w:t>
      </w:r>
      <w:hyperlink r:id="rId27" w:history="1">
        <w:r>
          <w:rPr>
            <w:color w:val="0000FF"/>
          </w:rPr>
          <w:t>пункта 2 статьи 227</w:t>
        </w:r>
      </w:hyperlink>
      <w:r>
        <w:t xml:space="preserve"> и </w:t>
      </w:r>
      <w:hyperlink r:id="rId28" w:history="1">
        <w:r>
          <w:rPr>
            <w:color w:val="0000FF"/>
          </w:rPr>
          <w:t>пунктом 2 статьи 228</w:t>
        </w:r>
      </w:hyperlink>
      <w:r>
        <w:t xml:space="preserve"> Кодекса налогоплательщики, указанные в </w:t>
      </w:r>
      <w:hyperlink r:id="rId29" w:history="1">
        <w:r>
          <w:rPr>
            <w:color w:val="0000FF"/>
          </w:rPr>
          <w:t>пункте 1 статьи 227</w:t>
        </w:r>
      </w:hyperlink>
      <w:r>
        <w:t xml:space="preserve"> и </w:t>
      </w:r>
      <w:hyperlink r:id="rId30" w:history="1">
        <w:r>
          <w:rPr>
            <w:color w:val="0000FF"/>
          </w:rPr>
          <w:t>пункте 1 статьи 228</w:t>
        </w:r>
      </w:hyperlink>
      <w:r>
        <w:t xml:space="preserve"> Кодекса, самостоятельно исчисляют суммы налога на доходы физических лиц, подлежащие уплате в соответствующий бюджет, в порядке, установленном </w:t>
      </w:r>
      <w:hyperlink r:id="rId31" w:history="1">
        <w:r>
          <w:rPr>
            <w:color w:val="0000FF"/>
          </w:rPr>
          <w:t>статьей 225</w:t>
        </w:r>
      </w:hyperlink>
      <w:r>
        <w:t xml:space="preserve"> Кодекса.</w:t>
      </w:r>
    </w:p>
    <w:p w:rsidR="008C3B74" w:rsidRDefault="008C3B74">
      <w:pPr>
        <w:pStyle w:val="ConsPlusNormal"/>
        <w:spacing w:before="220"/>
        <w:ind w:firstLine="540"/>
        <w:jc w:val="both"/>
      </w:pPr>
      <w:r>
        <w:t>Настоящее письмо Департамента не содержит правовых норм, не конкретизирует нормативные предписания и не является нормативным правовым актом. Письменные разъяснения Минфина России по вопросам применения законодательства Российской Федерации о налогах и сборах, направленные налогоплательщикам и (или) налоговым агентам, имеют информационно-разъяснительный характер и не препятствуют налогоплательщикам, налоговым органам и налоговым агентам руководствоваться нормами законодательства Российской Федерации о налогах и сборах в понимании, отличающемся от трактовки, изложенной в настоящем письме.</w:t>
      </w:r>
    </w:p>
    <w:p w:rsidR="008C3B74" w:rsidRDefault="008C3B74">
      <w:pPr>
        <w:pStyle w:val="ConsPlusNormal"/>
        <w:jc w:val="both"/>
      </w:pPr>
    </w:p>
    <w:p w:rsidR="008C3B74" w:rsidRDefault="008C3B74">
      <w:pPr>
        <w:pStyle w:val="ConsPlusNormal"/>
        <w:jc w:val="right"/>
      </w:pPr>
      <w:r>
        <w:t>Заместитель директора Департамента</w:t>
      </w:r>
    </w:p>
    <w:p w:rsidR="008C3B74" w:rsidRDefault="008C3B74">
      <w:pPr>
        <w:pStyle w:val="ConsPlusNormal"/>
        <w:jc w:val="right"/>
      </w:pPr>
      <w:r>
        <w:t>В.А.ПРОКАЕВ</w:t>
      </w:r>
    </w:p>
    <w:p w:rsidR="008C3B74" w:rsidRDefault="008C3B74">
      <w:pPr>
        <w:pStyle w:val="ConsPlusNormal"/>
      </w:pPr>
      <w:r>
        <w:t>27.11.2020</w:t>
      </w:r>
    </w:p>
    <w:p w:rsidR="008C3B74" w:rsidRDefault="008C3B74">
      <w:pPr>
        <w:pStyle w:val="ConsPlusNormal"/>
        <w:jc w:val="both"/>
      </w:pPr>
    </w:p>
    <w:p w:rsidR="008C3B74" w:rsidRDefault="008C3B74">
      <w:pPr>
        <w:pStyle w:val="ConsPlusNormal"/>
        <w:jc w:val="both"/>
      </w:pPr>
    </w:p>
    <w:p w:rsidR="008C3B74" w:rsidRDefault="008C3B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6B85" w:rsidRDefault="003A6B85">
      <w:bookmarkStart w:id="0" w:name="_GoBack"/>
      <w:bookmarkEnd w:id="0"/>
    </w:p>
    <w:sectPr w:rsidR="003A6B85" w:rsidSect="00332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B74"/>
    <w:rsid w:val="003A6B85"/>
    <w:rsid w:val="008C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3B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C3B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C3B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3B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C3B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C3B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8EE5B56D3038EEB175B186E51A3E9639B9E023CD02A87226B07DC62897176CF91A81867E5161243E44E0584D350796B406C7FAD077A9DFp2N7H" TargetMode="External"/><Relationship Id="rId13" Type="http://schemas.openxmlformats.org/officeDocument/2006/relationships/hyperlink" Target="consultantplus://offline/ref=DA8EE5B56D3038EEB175B186E51A3E9639BAE921C600A87226B07DC62897176CF91A81867E5167273E44E0584D350796B406C7FAD077A9DFp2N7H" TargetMode="External"/><Relationship Id="rId18" Type="http://schemas.openxmlformats.org/officeDocument/2006/relationships/hyperlink" Target="consultantplus://offline/ref=DA8EE5B56D3038EEB175B186E51A3E9639BAE921C704A87226B07DC62897176CF91A81867B516023351BE54D5C6D0A94A818C5E6CC75ABpDNCH" TargetMode="External"/><Relationship Id="rId26" Type="http://schemas.openxmlformats.org/officeDocument/2006/relationships/hyperlink" Target="consultantplus://offline/ref=DA8EE5B56D3038EEB175B186E51A3E9639BAE921C704A87226B07DC62897176CF91A81867E50612D3F44E0584D350796B406C7FAD077A9DFp2N7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A8EE5B56D3038EEB175B186E51A3E9639BAE921C704A87226B07DC62897176CF91A81807D59652F6A1EF05C04600888B61AD9FACE77pAN8H" TargetMode="External"/><Relationship Id="rId7" Type="http://schemas.openxmlformats.org/officeDocument/2006/relationships/hyperlink" Target="consultantplus://offline/ref=DA8EE5B56D3038EEB175B186E51A3E9639B9E023CD02A87226B07DC62897176CF91A81867C51622F6A1EF05C04600888B61AD9FACE77pAN8H" TargetMode="External"/><Relationship Id="rId12" Type="http://schemas.openxmlformats.org/officeDocument/2006/relationships/hyperlink" Target="consultantplus://offline/ref=DA8EE5B56D3038EEB175B186E51A3E9639B9E023CD02A87226B07DC62897176CF91A81837C566E706F0BE10409621496B406C5F8CCp7N4H" TargetMode="External"/><Relationship Id="rId17" Type="http://schemas.openxmlformats.org/officeDocument/2006/relationships/hyperlink" Target="consultantplus://offline/ref=DA8EE5B56D3038EEB175B186E51A3E9639BAE921C704A87226B07DC62897176CF91A81867E5061203F44E0584D350796B406C7FAD077A9DFp2N7H" TargetMode="External"/><Relationship Id="rId25" Type="http://schemas.openxmlformats.org/officeDocument/2006/relationships/hyperlink" Target="consultantplus://offline/ref=DA8EE5B56D3038EEB175B186E51A3E9639BAE921C704A87226B07DC62897176CF91A81847E506C2F6A1EF05C04600888B61AD9FACE77pAN8H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A8EE5B56D3038EEB175B186E51A3E9639BAE921C704A87226B07DC62897176CF91A81867B516022351BE54D5C6D0A94A818C5E6CC75ABpDNCH" TargetMode="External"/><Relationship Id="rId20" Type="http://schemas.openxmlformats.org/officeDocument/2006/relationships/hyperlink" Target="consultantplus://offline/ref=DA8EE5B56D3038EEB175B186E51A3E9639BAE921C704A87226B07DC62897176CF91A81837950652F6A1EF05C04600888B61AD9FACE77pAN8H" TargetMode="External"/><Relationship Id="rId29" Type="http://schemas.openxmlformats.org/officeDocument/2006/relationships/hyperlink" Target="consultantplus://offline/ref=DA8EE5B56D3038EEB175B186E51A3E9639BAE921C704A87226B07DC62897176CF91A81867E5061233B44E0584D350796B406C7FAD077A9DFp2N7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A8EE5B56D3038EEB175B186E51A3E9639BAE921C600A87226B07DC62897176CF91A818476566C2F6A1EF05C04600888B61AD9FACE77pAN8H" TargetMode="External"/><Relationship Id="rId11" Type="http://schemas.openxmlformats.org/officeDocument/2006/relationships/hyperlink" Target="consultantplus://offline/ref=DA8EE5B56D3038EEB175B186E51A3E9639B9E023CD02A87226B07DC62897176CF91A81837C566E706F0BE10409621496B406C5F8CCp7N4H" TargetMode="External"/><Relationship Id="rId24" Type="http://schemas.openxmlformats.org/officeDocument/2006/relationships/hyperlink" Target="consultantplus://offline/ref=DA8EE5B56D3038EEB175B186E51A3E9639BAE921C704A87226B07DC62897176CF91A81867D536121351BE54D5C6D0A94A818C5E6CC75ABpDNCH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DA8EE5B56D3038EEB175B186E51A3E9639BAE921C704A87226B07DC62897176CF91A81847B58632F6A1EF05C04600888B61AD9FACE77pAN8H" TargetMode="External"/><Relationship Id="rId23" Type="http://schemas.openxmlformats.org/officeDocument/2006/relationships/hyperlink" Target="consultantplus://offline/ref=DA8EE5B56D3038EEB175B186E51A3E9639BAE921C704A87226B07DC62897176CF91A818676536723351BE54D5C6D0A94A818C5E6CC75ABpDNCH" TargetMode="External"/><Relationship Id="rId28" Type="http://schemas.openxmlformats.org/officeDocument/2006/relationships/hyperlink" Target="consultantplus://offline/ref=DA8EE5B56D3038EEB175B186E51A3E9639BAE921C704A87226B07DC62897176CF91A81867E50612D3644E0584D350796B406C7FAD077A9DFp2N7H" TargetMode="External"/><Relationship Id="rId10" Type="http://schemas.openxmlformats.org/officeDocument/2006/relationships/hyperlink" Target="consultantplus://offline/ref=DA8EE5B56D3038EEB175B186E51A3E9639B9E023CD02A87226B07DC62897176CF91A81867C516D2F6A1EF05C04600888B61AD9FACE77pAN8H" TargetMode="External"/><Relationship Id="rId19" Type="http://schemas.openxmlformats.org/officeDocument/2006/relationships/hyperlink" Target="consultantplus://offline/ref=DA8EE5B56D3038EEB175B186E51A3E9639BAE921C704A87226B07DC62897176CF91A818379516C2F6A1EF05C04600888B61AD9FACE77pAN8H" TargetMode="External"/><Relationship Id="rId31" Type="http://schemas.openxmlformats.org/officeDocument/2006/relationships/hyperlink" Target="consultantplus://offline/ref=DA8EE5B56D3038EEB175B186E51A3E9639BAE921C704A87226B07DC62897176CF91A81867E5061213F44E0584D350796B406C7FAD077A9DFp2N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A8EE5B56D3038EEB175B186E51A3E9639B9E023CD02A87226B07DC62897176CF91A81867E5066243744E0584D350796B406C7FAD077A9DFp2N7H" TargetMode="External"/><Relationship Id="rId14" Type="http://schemas.openxmlformats.org/officeDocument/2006/relationships/hyperlink" Target="consultantplus://offline/ref=DA8EE5B56D3038EEB175B186E51A3E9639BAE921C600A87226B07DC62897176CF91A81857B596E706F0BE10409621496B406C5F8CCp7N4H" TargetMode="External"/><Relationship Id="rId22" Type="http://schemas.openxmlformats.org/officeDocument/2006/relationships/hyperlink" Target="consultantplus://offline/ref=DA8EE5B56D3038EEB175B186E51A3E9639BAE921C704A87226B07DC62897176CF91A818F7754622F6A1EF05C04600888B61AD9FACE77pAN8H" TargetMode="External"/><Relationship Id="rId27" Type="http://schemas.openxmlformats.org/officeDocument/2006/relationships/hyperlink" Target="consultantplus://offline/ref=DA8EE5B56D3038EEB175B186E51A3E9639BAE921C704A87226B07DC62897176CF91A81867E5061233644E0584D350796B406C7FAD077A9DFp2N7H" TargetMode="External"/><Relationship Id="rId30" Type="http://schemas.openxmlformats.org/officeDocument/2006/relationships/hyperlink" Target="consultantplus://offline/ref=DA8EE5B56D3038EEB175B186E51A3E9639BAE921C704A87226B07DC62897176CF91A81867E50612D3C44E0584D350796B406C7FAD077A9DFp2N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2021-02-02T07:13:00Z</dcterms:created>
  <dcterms:modified xsi:type="dcterms:W3CDTF">2021-02-02T07:13:00Z</dcterms:modified>
</cp:coreProperties>
</file>